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04F8" w14:textId="4918CCDC" w:rsidR="00205138" w:rsidRDefault="00205138" w:rsidP="003F09C9">
      <w:pP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55A6811D" wp14:editId="2C18193A">
            <wp:simplePos x="0" y="0"/>
            <wp:positionH relativeFrom="margin">
              <wp:posOffset>3733800</wp:posOffset>
            </wp:positionH>
            <wp:positionV relativeFrom="margin">
              <wp:posOffset>-702310</wp:posOffset>
            </wp:positionV>
            <wp:extent cx="2461260" cy="71878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ce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71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3681F" w14:textId="7EA293FC" w:rsidR="003F09C9" w:rsidRPr="00AE5EBD" w:rsidRDefault="003F09C9" w:rsidP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TO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FROM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SUBJECT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Why I should attend </w:t>
      </w:r>
      <w: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MWHCEC 20</w:t>
      </w:r>
      <w:r w:rsidR="009B03DC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21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The 20</w:t>
      </w:r>
      <w:r w:rsidR="009B03DC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Midwest Healthcare Engineering Conference &amp; Trade Show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is an educational and networking conference for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more than 600 healthcare engineers and vendors from across the Midwest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I would like to request approval to attend. </w:t>
      </w:r>
    </w:p>
    <w:p w14:paraId="72DE36C3" w14:textId="7E0B93FA" w:rsidR="003F09C9" w:rsidRPr="00AE5EBD" w:rsidRDefault="003F09C9" w:rsidP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hAnsi="Arial" w:cs="Arial"/>
          <w:sz w:val="20"/>
          <w:szCs w:val="21"/>
        </w:rPr>
        <w:t xml:space="preserve">The conference offers </w:t>
      </w:r>
      <w:r>
        <w:rPr>
          <w:rFonts w:ascii="Arial" w:hAnsi="Arial" w:cs="Arial"/>
          <w:sz w:val="20"/>
          <w:szCs w:val="21"/>
        </w:rPr>
        <w:t>t</w:t>
      </w:r>
      <w:r w:rsidR="002348EC">
        <w:rPr>
          <w:rFonts w:ascii="Arial" w:hAnsi="Arial" w:cs="Arial"/>
          <w:sz w:val="20"/>
          <w:szCs w:val="21"/>
        </w:rPr>
        <w:t xml:space="preserve">wo </w:t>
      </w:r>
      <w:r>
        <w:rPr>
          <w:rFonts w:ascii="Arial" w:hAnsi="Arial" w:cs="Arial"/>
          <w:sz w:val="20"/>
          <w:szCs w:val="21"/>
        </w:rPr>
        <w:t xml:space="preserve">days of educational sessions that focus on maximizing facility efficiency, staying compliant with current codes and how facilities can </w:t>
      </w:r>
      <w:r w:rsidR="009B03DC">
        <w:rPr>
          <w:rFonts w:ascii="Arial" w:hAnsi="Arial" w:cs="Arial"/>
          <w:sz w:val="20"/>
          <w:szCs w:val="21"/>
        </w:rPr>
        <w:t>improve the environment of care</w:t>
      </w:r>
      <w:r w:rsidRPr="00AE5EBD">
        <w:rPr>
          <w:rFonts w:ascii="Arial" w:hAnsi="Arial" w:cs="Arial"/>
          <w:color w:val="000000"/>
          <w:sz w:val="20"/>
          <w:szCs w:val="21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2348EC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The third day includes a Certified Healthcare Facility Manager exam preparation course.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These sessions will address the issues that we face and inform us how to implement and achieve optimal outcomes within our organization.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Additionally, the event offers a trade show that provides access to </w:t>
      </w:r>
      <w:r w:rsidR="009216D7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nearly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9216D7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vendors who specialize in helping healthcare facilities operate more efficiently. </w:t>
      </w:r>
    </w:p>
    <w:p w14:paraId="51E7DE4F" w14:textId="0AA98ED8" w:rsidR="003F09C9" w:rsidRPr="00AE5EBD" w:rsidRDefault="003F09C9" w:rsidP="003F09C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is an opportunity for me to network with other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healthcare engineers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as well as meet hundreds of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vendors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to find out how their latest developments will benefit us.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Additionally, I </w:t>
      </w:r>
      <w:r w:rsidR="00205138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can earn up </w:t>
      </w:r>
      <w:r w:rsidR="00205138" w:rsidRP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to </w:t>
      </w:r>
      <w:r w:rsidR="00F2580B" w:rsidRP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10</w:t>
      </w:r>
      <w:r w:rsidR="00205138" w:rsidRP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.5 continuing</w:t>
      </w:r>
      <w:r w:rsidR="00205138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education credits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for attending.</w:t>
      </w:r>
    </w:p>
    <w:p w14:paraId="47486620" w14:textId="421AA537" w:rsidR="003F09C9" w:rsidRPr="00AE5EBD" w:rsidRDefault="003F09C9" w:rsidP="003F09C9">
      <w:pPr>
        <w:rPr>
          <w:rFonts w:ascii="Arial" w:hAnsi="Arial" w:cs="Arial"/>
          <w:sz w:val="20"/>
          <w:szCs w:val="21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9B03DC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Nov. 8-10</w:t>
      </w:r>
      <w: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 in Indianapolis</w:t>
      </w:r>
      <w:r w:rsid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The conference agenda can be found </w:t>
      </w:r>
      <w:hyperlink r:id="rId8" w:history="1">
        <w:r w:rsidRPr="003F09C9">
          <w:rPr>
            <w:rStyle w:val="Hyperlink"/>
            <w:rFonts w:ascii="Arial" w:eastAsia="Times New Roman" w:hAnsi="Arial" w:cs="Arial"/>
            <w:sz w:val="20"/>
            <w:szCs w:val="21"/>
            <w:lang w:eastAsia="en-GB"/>
          </w:rPr>
          <w:t>here.</w:t>
        </w:r>
      </w:hyperlink>
    </w:p>
    <w:p w14:paraId="3F82A2E8" w14:textId="77777777" w:rsidR="003F09C9" w:rsidRPr="00AE5EBD" w:rsidRDefault="003F09C9" w:rsidP="003F09C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Here are the goals I plan to accomplish:</w:t>
      </w:r>
    </w:p>
    <w:p w14:paraId="11B06A7D" w14:textId="77777777" w:rsidR="003F09C9" w:rsidRPr="00AE5EBD" w:rsidRDefault="003F09C9" w:rsidP="003F09C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37F1E679" w14:textId="77777777" w:rsidR="003F09C9" w:rsidRPr="00AE5EBD" w:rsidRDefault="003F09C9" w:rsidP="003F09C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5623781D" w14:textId="77777777" w:rsidR="003F09C9" w:rsidRPr="00AE5EBD" w:rsidRDefault="003F09C9" w:rsidP="003F09C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29C3C74E" w14:textId="77777777" w:rsidR="003F09C9" w:rsidRPr="00AE5EBD" w:rsidRDefault="003F09C9" w:rsidP="003F09C9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 have calculated an approximate breakdown of costs associated with my attendance:</w:t>
      </w:r>
    </w:p>
    <w:tbl>
      <w:tblPr>
        <w:tblStyle w:val="ListTable3-Accent6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5" w:color="auto" w:fill="auto"/>
        <w:tblLook w:val="0400" w:firstRow="0" w:lastRow="0" w:firstColumn="0" w:lastColumn="0" w:noHBand="0" w:noVBand="1"/>
      </w:tblPr>
      <w:tblGrid>
        <w:gridCol w:w="7470"/>
        <w:gridCol w:w="2442"/>
      </w:tblGrid>
      <w:tr w:rsidR="003F09C9" w:rsidRPr="00AE5EBD" w14:paraId="63025729" w14:textId="77777777" w:rsidTr="003F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56C1BBD9" w14:textId="510B1A3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Convention Registration</w:t>
            </w:r>
          </w:p>
        </w:tc>
        <w:tc>
          <w:tcPr>
            <w:tcW w:w="2442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61505CBB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41ED055D" w14:textId="77777777" w:rsidTr="003F09C9">
        <w:trPr>
          <w:trHeight w:val="432"/>
        </w:trPr>
        <w:tc>
          <w:tcPr>
            <w:tcW w:w="7470" w:type="dxa"/>
            <w:shd w:val="pct15" w:color="auto" w:fill="auto"/>
          </w:tcPr>
          <w:p w14:paraId="6BD6A8F1" w14:textId="2B4365D8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Optional additional registration: Certified Healthcare Facility Manager Exam Course </w:t>
            </w:r>
            <w:r w:rsidR="00F258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(Nov. 10)</w:t>
            </w:r>
          </w:p>
        </w:tc>
        <w:tc>
          <w:tcPr>
            <w:tcW w:w="2442" w:type="dxa"/>
            <w:shd w:val="pct15" w:color="auto" w:fill="auto"/>
          </w:tcPr>
          <w:p w14:paraId="251C18B8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7219B642" w14:textId="77777777" w:rsidTr="003F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3CF3954E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67B3A6FA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54D5ECA4" w14:textId="77777777" w:rsidTr="003F09C9">
        <w:trPr>
          <w:trHeight w:val="432"/>
        </w:trPr>
        <w:tc>
          <w:tcPr>
            <w:tcW w:w="7470" w:type="dxa"/>
            <w:shd w:val="pct15" w:color="auto" w:fill="auto"/>
          </w:tcPr>
          <w:p w14:paraId="5F720254" w14:textId="4F49022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mileage</w:t>
            </w: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estimate</w:t>
            </w:r>
          </w:p>
        </w:tc>
        <w:tc>
          <w:tcPr>
            <w:tcW w:w="2442" w:type="dxa"/>
            <w:shd w:val="pct15" w:color="auto" w:fill="auto"/>
          </w:tcPr>
          <w:p w14:paraId="33D03033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34331EC6" w14:textId="77777777" w:rsidTr="003F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2DE440CC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28969732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</w:tbl>
    <w:p w14:paraId="632AA72E" w14:textId="30FF6714" w:rsidR="003F09C9" w:rsidRPr="00AE5EBD" w:rsidRDefault="003F09C9" w:rsidP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believe my attendance at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MWHCEC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will provide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our facility with a strong ROI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Once I return, I can provide a report of my key takeaways, and share new trends and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lessons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with the team. I will work to make sure we get the full value of this event.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  <w:t>Thank you for your consideration.</w:t>
      </w:r>
    </w:p>
    <w:p w14:paraId="52A333E2" w14:textId="338C9353" w:rsidR="001E5E75" w:rsidRPr="00205138" w:rsidRDefault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Sincerely,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E10FE0">
        <w:rPr>
          <w:rFonts w:ascii="Arial" w:eastAsia="Times New Roman" w:hAnsi="Arial" w:cs="Arial"/>
          <w:i/>
          <w:sz w:val="20"/>
          <w:szCs w:val="21"/>
          <w:lang w:eastAsia="en-GB"/>
        </w:rPr>
        <w:t>Your Name Here</w:t>
      </w:r>
    </w:p>
    <w:sectPr w:rsidR="001E5E75" w:rsidRPr="00205138" w:rsidSect="003F09C9">
      <w:headerReference w:type="default" r:id="rId9"/>
      <w:pgSz w:w="12240" w:h="15840"/>
      <w:pgMar w:top="994" w:right="1152" w:bottom="1440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E888" w14:textId="77777777" w:rsidR="000A2B42" w:rsidRDefault="00205138">
      <w:pPr>
        <w:spacing w:after="0" w:line="240" w:lineRule="auto"/>
      </w:pPr>
      <w:r>
        <w:separator/>
      </w:r>
    </w:p>
  </w:endnote>
  <w:endnote w:type="continuationSeparator" w:id="0">
    <w:p w14:paraId="01317962" w14:textId="77777777" w:rsidR="000A2B42" w:rsidRDefault="0020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31CE" w14:textId="77777777" w:rsidR="000A2B42" w:rsidRDefault="00205138">
      <w:pPr>
        <w:spacing w:after="0" w:line="240" w:lineRule="auto"/>
      </w:pPr>
      <w:r>
        <w:separator/>
      </w:r>
    </w:p>
  </w:footnote>
  <w:footnote w:type="continuationSeparator" w:id="0">
    <w:p w14:paraId="70095190" w14:textId="77777777" w:rsidR="000A2B42" w:rsidRDefault="0020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125F" w14:textId="564AC991" w:rsidR="00812FA1" w:rsidRDefault="003F09C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98E718" wp14:editId="49E63FE3">
              <wp:simplePos x="0" y="0"/>
              <wp:positionH relativeFrom="page">
                <wp:posOffset>0</wp:posOffset>
              </wp:positionH>
              <wp:positionV relativeFrom="topMargin">
                <wp:posOffset>17942</wp:posOffset>
              </wp:positionV>
              <wp:extent cx="7761767" cy="1190847"/>
              <wp:effectExtent l="0" t="0" r="0" b="952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767" cy="1190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2DC756" w14:textId="0E23AA87" w:rsidR="00812FA1" w:rsidRDefault="003F09C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E718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1.4pt;width:611.1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" o:allowincell="f" filled="f" stroked="f">
              <v:textbox inset=",0,,0">
                <w:txbxContent>
                  <w:p w14:paraId="212DC756" w14:textId="0E23AA87" w:rsidR="00812FA1" w:rsidRDefault="003F09C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ptab w:relativeTo="margin" w:alignment="center" w:leader="none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E6F9078" w14:textId="77777777" w:rsidR="00812FA1" w:rsidRDefault="00F2580B">
    <w:pPr>
      <w:pStyle w:val="Header"/>
    </w:pPr>
  </w:p>
  <w:p w14:paraId="090609CA" w14:textId="77777777" w:rsidR="00812FA1" w:rsidRDefault="00F2580B">
    <w:pPr>
      <w:pStyle w:val="Header"/>
    </w:pPr>
  </w:p>
  <w:p w14:paraId="47B234B8" w14:textId="77777777" w:rsidR="00812FA1" w:rsidRDefault="00F2580B">
    <w:pPr>
      <w:pStyle w:val="Header"/>
    </w:pPr>
  </w:p>
  <w:p w14:paraId="1A9D4260" w14:textId="77777777" w:rsidR="00812FA1" w:rsidRDefault="00F2580B">
    <w:pPr>
      <w:pStyle w:val="Header"/>
    </w:pPr>
  </w:p>
  <w:p w14:paraId="1E0813F3" w14:textId="77777777" w:rsidR="00812FA1" w:rsidRDefault="00F25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C9"/>
    <w:rsid w:val="000A2B42"/>
    <w:rsid w:val="001E5E75"/>
    <w:rsid w:val="00205138"/>
    <w:rsid w:val="002348EC"/>
    <w:rsid w:val="003F09C9"/>
    <w:rsid w:val="009216D7"/>
    <w:rsid w:val="009B03DC"/>
    <w:rsid w:val="00EA59C7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93ECBE"/>
  <w15:chartTrackingRefBased/>
  <w15:docId w15:val="{34C73A33-E986-4E0D-B9DE-949B0F7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C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9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C9"/>
    <w:rPr>
      <w:lang w:val="en-GB"/>
    </w:rPr>
  </w:style>
  <w:style w:type="table" w:styleId="ListTable3-Accent6">
    <w:name w:val="List Table 3 Accent 6"/>
    <w:basedOn w:val="TableNormal"/>
    <w:uiPriority w:val="48"/>
    <w:rsid w:val="003F09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F09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A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C7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0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hcec.org/schedu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Pfenninger</dc:creator>
  <cp:keywords/>
  <dc:description/>
  <cp:lastModifiedBy>Shelly Pfenninger</cp:lastModifiedBy>
  <cp:revision>5</cp:revision>
  <dcterms:created xsi:type="dcterms:W3CDTF">2021-07-15T14:13:00Z</dcterms:created>
  <dcterms:modified xsi:type="dcterms:W3CDTF">2021-08-30T16:02:00Z</dcterms:modified>
</cp:coreProperties>
</file>